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附件3-</w:t>
      </w: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：</w:t>
      </w:r>
    </w:p>
    <w:p>
      <w:pPr>
        <w:ind w:firstLine="0" w:firstLineChars="0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Toc479323341"/>
      <w:r>
        <w:rPr>
          <w:rFonts w:hint="eastAsia" w:ascii="方正小标宋简体" w:hAnsi="微软雅黑" w:eastAsia="方正小标宋简体"/>
          <w:sz w:val="36"/>
          <w:szCs w:val="36"/>
        </w:rPr>
        <w:t>第</w:t>
      </w:r>
      <w:r>
        <w:rPr>
          <w:rFonts w:ascii="方正小标宋简体" w:hAnsi="微软雅黑" w:eastAsia="方正小标宋简体"/>
          <w:sz w:val="36"/>
          <w:szCs w:val="36"/>
        </w:rPr>
        <w:t>六届</w:t>
      </w:r>
      <w:r>
        <w:rPr>
          <w:rFonts w:hint="eastAsia" w:ascii="方正小标宋简体" w:hAnsi="微软雅黑" w:eastAsia="方正小标宋简体"/>
          <w:sz w:val="36"/>
          <w:szCs w:val="36"/>
        </w:rPr>
        <w:t>中国研究生智慧城市技术与创意设计大赛</w:t>
      </w:r>
    </w:p>
    <w:p>
      <w:pPr>
        <w:pStyle w:val="4"/>
        <w:ind w:left="320" w:leftChars="100" w:right="320" w:rightChars="100" w:firstLine="0" w:firstLineChars="0"/>
      </w:pPr>
      <w:bookmarkStart w:id="1" w:name="_Toc7210848"/>
      <w:bookmarkStart w:id="2" w:name="_Toc7211038"/>
      <w:r>
        <w:rPr>
          <w:rFonts w:hint="eastAsia"/>
        </w:rPr>
        <w:t>创意设计赛项目商业计划书</w:t>
      </w:r>
      <w:bookmarkEnd w:id="1"/>
      <w:bookmarkEnd w:id="2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bookmarkEnd w:id="0"/>
    <w:p>
      <w:pPr>
        <w:ind w:firstLine="600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一、项目方案概述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二、项目团队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三、项目产品（服务）化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不超过</w:t>
      </w:r>
      <w:r>
        <w:rPr>
          <w:rFonts w:asciiTheme="minorEastAsia" w:hAnsiTheme="minorEastAsia" w:eastAsiaTheme="minorEastAsia"/>
          <w:sz w:val="28"/>
          <w:szCs w:val="28"/>
        </w:rPr>
        <w:t>2000</w:t>
      </w:r>
      <w:r>
        <w:rPr>
          <w:rFonts w:hint="eastAsia" w:asciiTheme="minorEastAsia" w:hAnsiTheme="minorEastAsia" w:eastAsiaTheme="minorEastAsia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项目产品（服务）特性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产品（服务）化实施计划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四、项目产品（服务）市场与竞争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市场概述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竞争优势分析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项目实施风险及应对措施</w:t>
      </w:r>
    </w:p>
    <w:p>
      <w:pPr>
        <w:ind w:firstLine="0" w:firstLineChars="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五、商业模式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项目产品（服务）的开发、生产（服务）策略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项目产品（服务）的营销策略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项目产品（服务）获利方式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int="eastAsia" w:hAnsi="仿宋"/>
          <w:sz w:val="28"/>
          <w:szCs w:val="28"/>
        </w:rPr>
        <w:t>（若创业）企业发展计划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六、预期经济效益分析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spacing w:line="560" w:lineRule="exact"/>
        <w:ind w:firstLine="640"/>
        <w:jc w:val="left"/>
        <w:rPr>
          <w:rFonts w:ascii="仿宋_GB2312" w:hAnsi="仿宋" w:eastAsia="仿宋_GB231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43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JC</lastModifiedBy>
  <dcterms:modified xsi:type="dcterms:W3CDTF">2019-04-27T11:34:33Z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